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4644"/>
      </w:tblGrid>
      <w:tr w:rsidR="00B92D0F" w14:paraId="1B87A0A3" w14:textId="77777777" w:rsidTr="0085470E">
        <w:trPr>
          <w:trHeight w:val="279"/>
        </w:trPr>
        <w:tc>
          <w:tcPr>
            <w:tcW w:w="4644" w:type="dxa"/>
            <w:tcBorders>
              <w:top w:val="nil"/>
              <w:left w:val="nil"/>
              <w:bottom w:val="nil"/>
              <w:right w:val="nil"/>
            </w:tcBorders>
          </w:tcPr>
          <w:p w14:paraId="7F272371"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+*yqw*wlB*yxo*obE*ugc*dwc*oxA*lic*ykn*uzj*zew*-</w:t>
            </w:r>
            <w:r>
              <w:rPr>
                <w:rFonts w:ascii="PDF417x" w:hAnsi="PDF417x"/>
                <w:sz w:val="24"/>
                <w:szCs w:val="24"/>
              </w:rPr>
              <w:br/>
              <w:t>+*eDs*lyd*lyd*lyd*lyd*hkj*DCb*vCz*ica*hDk*zfE*-</w:t>
            </w:r>
            <w:r>
              <w:rPr>
                <w:rFonts w:ascii="PDF417x" w:hAnsi="PDF417x"/>
                <w:sz w:val="24"/>
                <w:szCs w:val="24"/>
              </w:rPr>
              <w:br/>
              <w:t>+*ftw*tFs*tpk*nvo*Cbi*jDu*mDi*kdr*xxc*kuE*onA*-</w:t>
            </w:r>
            <w:r>
              <w:rPr>
                <w:rFonts w:ascii="PDF417x" w:hAnsi="PDF417x"/>
                <w:sz w:val="24"/>
                <w:szCs w:val="24"/>
              </w:rPr>
              <w:br/>
              <w:t>+*ftA*ydr*wgt*xiw*yCn*lic*ijt*sra*sdv*jtD*uws*-</w:t>
            </w:r>
            <w:r>
              <w:rPr>
                <w:rFonts w:ascii="PDF417x" w:hAnsi="PDF417x"/>
                <w:sz w:val="24"/>
                <w:szCs w:val="24"/>
              </w:rPr>
              <w:br/>
              <w:t>+*xjq*kuy*yrE*iaw*jAo*Dog*aDj*rso*Awq*zCu*uzq*-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037"/>
      </w:tblGrid>
      <w:tr w:rsidR="00B92D0F" w:rsidRPr="00B92D0F" w14:paraId="19F20D1D" w14:textId="77777777" w:rsidTr="0085470E">
        <w:trPr>
          <w:trHeight w:val="373"/>
        </w:trPr>
        <w:tc>
          <w:tcPr>
            <w:tcW w:w="5037" w:type="dxa"/>
            <w:tcBorders>
              <w:top w:val="nil"/>
              <w:left w:val="nil"/>
              <w:bottom w:val="nil"/>
              <w:right w:val="nil"/>
            </w:tcBorders>
          </w:tcPr>
          <w:p w14:paraId="3D2A46FC" w14:textId="77777777" w:rsidR="00B92D0F" w:rsidRPr="00B92D0F" w:rsidRDefault="00B92D0F" w:rsidP="00A836D0">
            <w:pPr>
              <w:contextualSpacing/>
              <w:rPr>
                <w:rFonts w:ascii="PDF417x" w:eastAsia="Times New Roman" w:hAnsi="PDF417x" w:cs="Times New Roman"/>
                <w:sz w:val="24"/>
                <w:szCs w:val="24"/>
              </w:rPr>
            </w:pPr>
          </w:p>
        </w:tc>
      </w:tr>
    </w:tbl>
    <w:p w14:paraId="01BC7426" w14:textId="38C9F3E3" w:rsidR="0085470E" w:rsidRDefault="0085470E" w:rsidP="0085470E">
      <w:pPr>
        <w:pStyle w:val="Default"/>
        <w:jc w:val="both"/>
        <w:rPr>
          <w:sz w:val="22"/>
          <w:szCs w:val="22"/>
        </w:rPr>
      </w:pPr>
      <w:r>
        <w:rPr>
          <w:sz w:val="22"/>
          <w:szCs w:val="22"/>
        </w:rPr>
        <w:t xml:space="preserve">Na temelju članka 35. Zakona o lokalnoj i područnoj (regionalnoj) samoupravi (Narodne novine broj: </w:t>
      </w:r>
      <w:r w:rsidRPr="00B54C3A">
        <w:rPr>
          <w:sz w:val="22"/>
          <w:szCs w:val="22"/>
        </w:rPr>
        <w:t>33/01, 60/01, 129/05, 109/07, 125/08, 36/09, 36/09, 150/11, 144/12, 19/13, 137/15, 123/17, 98/19, 144/20</w:t>
      </w:r>
      <w:r>
        <w:rPr>
          <w:sz w:val="22"/>
          <w:szCs w:val="22"/>
        </w:rPr>
        <w:t xml:space="preserve">), te članka 20. Statuta Općine Plitvička Jezera (Službeni glasnik Općine Plitvička Jezera, 2/21 i 9/22), Općinsko vijeće Općine Plitvička Jezera, na 17. redovnoj sjednici održanoj dana 25.03.2024. godine donijelo je </w:t>
      </w:r>
    </w:p>
    <w:p w14:paraId="35C08EE7" w14:textId="77777777" w:rsidR="0085470E" w:rsidRDefault="0085470E" w:rsidP="0085470E">
      <w:pPr>
        <w:pStyle w:val="Default"/>
        <w:jc w:val="both"/>
        <w:rPr>
          <w:sz w:val="22"/>
          <w:szCs w:val="22"/>
        </w:rPr>
      </w:pPr>
    </w:p>
    <w:p w14:paraId="3736F722" w14:textId="77777777" w:rsidR="0085470E" w:rsidRDefault="0085470E" w:rsidP="0085470E">
      <w:pPr>
        <w:pStyle w:val="Default"/>
        <w:jc w:val="both"/>
        <w:rPr>
          <w:sz w:val="22"/>
          <w:szCs w:val="22"/>
        </w:rPr>
      </w:pPr>
    </w:p>
    <w:p w14:paraId="52B39B35" w14:textId="77777777" w:rsidR="0085470E" w:rsidRDefault="0085470E" w:rsidP="0085470E">
      <w:pPr>
        <w:pStyle w:val="Default"/>
        <w:jc w:val="center"/>
        <w:rPr>
          <w:sz w:val="22"/>
          <w:szCs w:val="22"/>
        </w:rPr>
      </w:pPr>
      <w:r>
        <w:rPr>
          <w:b/>
          <w:bCs/>
          <w:sz w:val="22"/>
          <w:szCs w:val="22"/>
        </w:rPr>
        <w:t>ODLUKU</w:t>
      </w:r>
    </w:p>
    <w:p w14:paraId="4F562183" w14:textId="77777777" w:rsidR="0085470E" w:rsidRDefault="0085470E" w:rsidP="0085470E">
      <w:pPr>
        <w:pStyle w:val="Default"/>
        <w:jc w:val="center"/>
        <w:rPr>
          <w:sz w:val="22"/>
          <w:szCs w:val="22"/>
        </w:rPr>
      </w:pPr>
      <w:r>
        <w:rPr>
          <w:b/>
          <w:bCs/>
          <w:sz w:val="22"/>
          <w:szCs w:val="22"/>
        </w:rPr>
        <w:t>o davanju suglasnosti za prihvaćanje ponude</w:t>
      </w:r>
    </w:p>
    <w:p w14:paraId="36506F97" w14:textId="77777777" w:rsidR="0085470E" w:rsidRDefault="0085470E" w:rsidP="0085470E">
      <w:pPr>
        <w:pStyle w:val="Default"/>
        <w:rPr>
          <w:b/>
          <w:bCs/>
          <w:sz w:val="22"/>
          <w:szCs w:val="22"/>
        </w:rPr>
      </w:pPr>
    </w:p>
    <w:p w14:paraId="46D5B4E5" w14:textId="77777777" w:rsidR="0085470E" w:rsidRDefault="0085470E" w:rsidP="0085470E">
      <w:pPr>
        <w:pStyle w:val="Default"/>
        <w:rPr>
          <w:b/>
          <w:bCs/>
          <w:sz w:val="22"/>
          <w:szCs w:val="22"/>
        </w:rPr>
      </w:pPr>
    </w:p>
    <w:p w14:paraId="0F898225" w14:textId="77777777" w:rsidR="0085470E" w:rsidRDefault="0085470E" w:rsidP="0085470E">
      <w:pPr>
        <w:pStyle w:val="Default"/>
        <w:jc w:val="center"/>
        <w:rPr>
          <w:sz w:val="22"/>
          <w:szCs w:val="22"/>
        </w:rPr>
      </w:pPr>
      <w:r>
        <w:rPr>
          <w:b/>
          <w:bCs/>
          <w:sz w:val="22"/>
          <w:szCs w:val="22"/>
        </w:rPr>
        <w:t>Članak 1.</w:t>
      </w:r>
    </w:p>
    <w:p w14:paraId="29528DD3" w14:textId="77777777" w:rsidR="0085470E" w:rsidRDefault="0085470E" w:rsidP="0085470E">
      <w:pPr>
        <w:pStyle w:val="Default"/>
        <w:jc w:val="both"/>
        <w:rPr>
          <w:sz w:val="22"/>
          <w:szCs w:val="22"/>
        </w:rPr>
      </w:pPr>
      <w:r>
        <w:rPr>
          <w:sz w:val="22"/>
          <w:szCs w:val="22"/>
        </w:rPr>
        <w:t xml:space="preserve">Ovom Odlukom odobrava se općinskom načelniku Općine Plitvička Jezera da u postupku javne nabave „Dogradnja osnovne škole Dr. Franje Tuđmana“ u Korenici, evidencijski broj nabave MV-06/2024, prihvati ponudu ponuditelja „Rudar“ d.o.o., Martinkovac 109, Rijeka, OIB: 32684643424, sa ponuđenim iznosom od 959,000,00 eura bez PDV-a, odnosno 1.198.750,00 eura sa PDV-om, a koji iznos je veći od planirane procijenjene vrijednosti koja iznosi 800.000,00 eura (bez PDV-a), odnosno 1.000.000,00 eura sa PDV-om. </w:t>
      </w:r>
    </w:p>
    <w:p w14:paraId="5F179CF6" w14:textId="77777777" w:rsidR="0085470E" w:rsidRDefault="0085470E" w:rsidP="0085470E">
      <w:pPr>
        <w:pStyle w:val="Default"/>
        <w:rPr>
          <w:sz w:val="22"/>
          <w:szCs w:val="22"/>
        </w:rPr>
      </w:pPr>
    </w:p>
    <w:p w14:paraId="27ED63E2" w14:textId="77777777" w:rsidR="0085470E" w:rsidRDefault="0085470E" w:rsidP="0085470E">
      <w:pPr>
        <w:pStyle w:val="Default"/>
        <w:jc w:val="center"/>
        <w:rPr>
          <w:sz w:val="22"/>
          <w:szCs w:val="22"/>
        </w:rPr>
      </w:pPr>
      <w:r>
        <w:rPr>
          <w:b/>
          <w:bCs/>
          <w:sz w:val="22"/>
          <w:szCs w:val="22"/>
        </w:rPr>
        <w:t>Članak 2.</w:t>
      </w:r>
    </w:p>
    <w:p w14:paraId="591D98C3" w14:textId="77777777" w:rsidR="0085470E" w:rsidRDefault="0085470E" w:rsidP="0085470E">
      <w:pPr>
        <w:pStyle w:val="Default"/>
        <w:jc w:val="both"/>
        <w:rPr>
          <w:sz w:val="22"/>
          <w:szCs w:val="22"/>
        </w:rPr>
      </w:pPr>
      <w:r>
        <w:rPr>
          <w:sz w:val="22"/>
          <w:szCs w:val="22"/>
        </w:rPr>
        <w:t xml:space="preserve">Ovlašćuje se općinski načelnik da donese Odluku o odabiru najpovoljnije ponude iz čl.1. ove Odluke te sklopi ugovor o nabavi radova iako je cijena ponude veća od procijenjenog iznosa, obzirom da je Općina sa Ministarstvom regionalnog razvoja i fondova Europske unije sklopila obvezujući ugovor o financiranju sa rokom izvršenja ugovornih obveza do 31.12.2025. godine, gdje je po istome do sada provela već dva postupka javne nabave, koja su poništena jer su ponuđene cijene ponuda bile iznad procijenjene vrijednosti i to: </w:t>
      </w:r>
    </w:p>
    <w:p w14:paraId="5F7A4B80" w14:textId="77777777" w:rsidR="0085470E" w:rsidRDefault="0085470E" w:rsidP="0085470E">
      <w:pPr>
        <w:pStyle w:val="Default"/>
        <w:numPr>
          <w:ilvl w:val="0"/>
          <w:numId w:val="2"/>
        </w:numPr>
        <w:jc w:val="both"/>
        <w:rPr>
          <w:sz w:val="22"/>
          <w:szCs w:val="22"/>
        </w:rPr>
      </w:pPr>
      <w:r>
        <w:rPr>
          <w:sz w:val="22"/>
          <w:szCs w:val="22"/>
        </w:rPr>
        <w:t xml:space="preserve">kod prve nabave, gdje je procijenjena vrijednost nabave prema Planu nabave za 2023. godinu bila 777.000,00 eura (bez PDV-a) odnosno 971.250,00 (sa PDV-om), ponuđena cijena ponuditelja iznosila je 1.144.234,42 eura (bez PDV-a) odnosno 1.430.293,03 eura, </w:t>
      </w:r>
    </w:p>
    <w:p w14:paraId="71AF6575" w14:textId="77777777" w:rsidR="0085470E" w:rsidRPr="00903A86" w:rsidRDefault="0085470E" w:rsidP="0085470E">
      <w:pPr>
        <w:pStyle w:val="ListParagraph"/>
        <w:numPr>
          <w:ilvl w:val="0"/>
          <w:numId w:val="2"/>
        </w:numPr>
        <w:jc w:val="both"/>
        <w:rPr>
          <w:rFonts w:ascii="Arial" w:hAnsi="Arial" w:cs="Arial"/>
          <w:noProof w:val="0"/>
          <w:color w:val="000000"/>
        </w:rPr>
      </w:pPr>
      <w:r w:rsidRPr="00DB1EE7">
        <w:rPr>
          <w:rFonts w:ascii="Arial" w:hAnsi="Arial" w:cs="Arial"/>
        </w:rPr>
        <w:t>kod druge nabave</w:t>
      </w:r>
      <w:r>
        <w:rPr>
          <w:rFonts w:ascii="Arial" w:hAnsi="Arial" w:cs="Arial"/>
        </w:rPr>
        <w:t>,</w:t>
      </w:r>
      <w:r>
        <w:t xml:space="preserve">  </w:t>
      </w:r>
      <w:r w:rsidRPr="00903A86">
        <w:rPr>
          <w:rFonts w:ascii="Arial" w:hAnsi="Arial" w:cs="Arial"/>
          <w:noProof w:val="0"/>
          <w:color w:val="000000"/>
        </w:rPr>
        <w:t>gdje je procijenjena vrijednost nabave prema Planu nabave za 2023. godinu bila 777.000,00 eura (bez PDV-a)</w:t>
      </w:r>
      <w:r>
        <w:rPr>
          <w:rFonts w:ascii="Arial" w:hAnsi="Arial" w:cs="Arial"/>
          <w:noProof w:val="0"/>
          <w:color w:val="000000"/>
        </w:rPr>
        <w:t xml:space="preserve"> odnosno 971.250,00 eura sa PDV-om,</w:t>
      </w:r>
      <w:r w:rsidRPr="00903A86">
        <w:rPr>
          <w:rFonts w:ascii="Arial" w:hAnsi="Arial" w:cs="Arial"/>
          <w:noProof w:val="0"/>
          <w:color w:val="000000"/>
        </w:rPr>
        <w:t xml:space="preserve"> ponuđena cijena ponuditelja iznosila</w:t>
      </w:r>
      <w:r>
        <w:rPr>
          <w:rFonts w:ascii="Arial" w:hAnsi="Arial" w:cs="Arial"/>
          <w:noProof w:val="0"/>
          <w:color w:val="000000"/>
        </w:rPr>
        <w:t xml:space="preserve"> je </w:t>
      </w:r>
      <w:r w:rsidRPr="00903A86">
        <w:rPr>
          <w:rFonts w:ascii="Arial" w:hAnsi="Arial" w:cs="Arial"/>
          <w:noProof w:val="0"/>
          <w:color w:val="000000"/>
        </w:rPr>
        <w:t xml:space="preserve"> 1.</w:t>
      </w:r>
      <w:r>
        <w:rPr>
          <w:rFonts w:ascii="Arial" w:hAnsi="Arial" w:cs="Arial"/>
          <w:noProof w:val="0"/>
          <w:color w:val="000000"/>
        </w:rPr>
        <w:t>154.062,96</w:t>
      </w:r>
      <w:r w:rsidRPr="00903A86">
        <w:rPr>
          <w:rFonts w:ascii="Arial" w:hAnsi="Arial" w:cs="Arial"/>
          <w:noProof w:val="0"/>
          <w:color w:val="000000"/>
        </w:rPr>
        <w:t xml:space="preserve"> eura (bez PDV-a)</w:t>
      </w:r>
      <w:r>
        <w:rPr>
          <w:rFonts w:ascii="Arial" w:hAnsi="Arial" w:cs="Arial"/>
          <w:noProof w:val="0"/>
          <w:color w:val="000000"/>
        </w:rPr>
        <w:t xml:space="preserve"> odnosno 1.442.578,70 eura</w:t>
      </w:r>
      <w:r w:rsidRPr="00903A86">
        <w:rPr>
          <w:rFonts w:ascii="Arial" w:hAnsi="Arial" w:cs="Arial"/>
          <w:noProof w:val="0"/>
          <w:color w:val="000000"/>
        </w:rPr>
        <w:t xml:space="preserve">, </w:t>
      </w:r>
    </w:p>
    <w:p w14:paraId="70D43249" w14:textId="77777777" w:rsidR="0085470E" w:rsidRDefault="0085470E" w:rsidP="0085470E">
      <w:pPr>
        <w:pStyle w:val="Default"/>
        <w:jc w:val="both"/>
        <w:rPr>
          <w:sz w:val="22"/>
          <w:szCs w:val="22"/>
        </w:rPr>
      </w:pPr>
      <w:r>
        <w:rPr>
          <w:sz w:val="22"/>
          <w:szCs w:val="22"/>
        </w:rPr>
        <w:t xml:space="preserve">a Općina je svojim planom i projekcijom predvidjela za projekt dogradnje Osnovne škole ukupno 970.000,00 eura (tijekom 2024 i 2025. godine), od kojih bi se 588.000,00 eura financiralo iz sredstava Ministarstva te 382.000,00 iz vlastitih sredstava. </w:t>
      </w:r>
    </w:p>
    <w:p w14:paraId="179A133B" w14:textId="77777777" w:rsidR="0085470E" w:rsidRDefault="0085470E" w:rsidP="0085470E">
      <w:pPr>
        <w:pStyle w:val="Default"/>
        <w:jc w:val="both"/>
        <w:rPr>
          <w:sz w:val="22"/>
          <w:szCs w:val="22"/>
        </w:rPr>
      </w:pPr>
      <w:r>
        <w:rPr>
          <w:sz w:val="22"/>
          <w:szCs w:val="22"/>
        </w:rPr>
        <w:t xml:space="preserve">Nedostajući iznos koji bi se trebao osigurati po prihvaćenoj ponudi iznosio bi 228.750,00 eura, a ista će se osigurati kroz druge fondovske i općinske izvore ili prolongiranjem rokova izgradnje i na 2026. godinu. </w:t>
      </w:r>
    </w:p>
    <w:p w14:paraId="0CE089E4" w14:textId="77777777" w:rsidR="0085470E" w:rsidRDefault="0085470E" w:rsidP="0085470E">
      <w:pPr>
        <w:pStyle w:val="Default"/>
        <w:rPr>
          <w:b/>
          <w:bCs/>
          <w:sz w:val="22"/>
          <w:szCs w:val="22"/>
        </w:rPr>
      </w:pPr>
    </w:p>
    <w:p w14:paraId="1D169FEF" w14:textId="77777777" w:rsidR="0085470E" w:rsidRDefault="0085470E" w:rsidP="0085470E">
      <w:pPr>
        <w:pStyle w:val="Default"/>
        <w:jc w:val="center"/>
        <w:rPr>
          <w:sz w:val="22"/>
          <w:szCs w:val="22"/>
        </w:rPr>
      </w:pPr>
      <w:r>
        <w:rPr>
          <w:b/>
          <w:bCs/>
          <w:sz w:val="22"/>
          <w:szCs w:val="22"/>
        </w:rPr>
        <w:t>Članak 3.</w:t>
      </w:r>
    </w:p>
    <w:p w14:paraId="08025ED5" w14:textId="77777777" w:rsidR="0085470E" w:rsidRDefault="0085470E" w:rsidP="0085470E">
      <w:pPr>
        <w:pStyle w:val="Default"/>
        <w:jc w:val="both"/>
        <w:rPr>
          <w:sz w:val="22"/>
          <w:szCs w:val="22"/>
        </w:rPr>
      </w:pPr>
      <w:r>
        <w:rPr>
          <w:sz w:val="22"/>
          <w:szCs w:val="22"/>
        </w:rPr>
        <w:t xml:space="preserve">Ova Odluka stupa na snagu osmog dana od dana objave, a objavit će se u Službenom glasniku Općine Plitvička Jezera. </w:t>
      </w:r>
    </w:p>
    <w:p w14:paraId="5DFCBE09" w14:textId="77777777" w:rsidR="0085470E" w:rsidRDefault="0085470E" w:rsidP="0085470E">
      <w:pPr>
        <w:pStyle w:val="Default"/>
        <w:rPr>
          <w:sz w:val="22"/>
          <w:szCs w:val="22"/>
        </w:rPr>
      </w:pPr>
    </w:p>
    <w:p w14:paraId="44134300" w14:textId="77777777" w:rsidR="0085470E" w:rsidRDefault="0085470E" w:rsidP="0085470E">
      <w:pPr>
        <w:pStyle w:val="Default"/>
        <w:rPr>
          <w:sz w:val="22"/>
          <w:szCs w:val="22"/>
        </w:rPr>
      </w:pPr>
    </w:p>
    <w:p w14:paraId="31FE27C6" w14:textId="0CC3D6DC" w:rsidR="0085470E" w:rsidRDefault="0085470E" w:rsidP="0085470E">
      <w:pPr>
        <w:pStyle w:val="Default"/>
        <w:rPr>
          <w:sz w:val="22"/>
          <w:szCs w:val="22"/>
        </w:rPr>
      </w:pPr>
      <w:r>
        <w:rPr>
          <w:sz w:val="22"/>
          <w:szCs w:val="22"/>
        </w:rPr>
        <w:t>KLASA: 406-02/24-03/01</w:t>
      </w:r>
    </w:p>
    <w:p w14:paraId="7E48A96C" w14:textId="0F3092AD" w:rsidR="0085470E" w:rsidRDefault="0085470E" w:rsidP="0085470E">
      <w:pPr>
        <w:pStyle w:val="Default"/>
        <w:rPr>
          <w:sz w:val="22"/>
          <w:szCs w:val="22"/>
        </w:rPr>
      </w:pPr>
      <w:r>
        <w:rPr>
          <w:sz w:val="22"/>
          <w:szCs w:val="22"/>
        </w:rPr>
        <w:t>URBROJ: 2125-11-03-24-08</w:t>
      </w:r>
    </w:p>
    <w:p w14:paraId="449893EA" w14:textId="5C2FF3F9" w:rsidR="0085470E" w:rsidRDefault="0085470E" w:rsidP="0085470E">
      <w:pPr>
        <w:pStyle w:val="Default"/>
        <w:rPr>
          <w:sz w:val="22"/>
          <w:szCs w:val="22"/>
        </w:rPr>
      </w:pPr>
      <w:r>
        <w:rPr>
          <w:sz w:val="22"/>
          <w:szCs w:val="22"/>
        </w:rPr>
        <w:t>Korenica, 25.03.202</w:t>
      </w:r>
      <w:r w:rsidR="00504690">
        <w:rPr>
          <w:sz w:val="22"/>
          <w:szCs w:val="22"/>
        </w:rPr>
        <w:t>4</w:t>
      </w:r>
      <w:r>
        <w:rPr>
          <w:sz w:val="22"/>
          <w:szCs w:val="22"/>
        </w:rPr>
        <w:t>. godine</w:t>
      </w:r>
    </w:p>
    <w:p w14:paraId="2C6F3F44" w14:textId="77777777" w:rsidR="0085470E" w:rsidRDefault="0085470E" w:rsidP="0085470E">
      <w:pPr>
        <w:pStyle w:val="Default"/>
        <w:rPr>
          <w:b/>
          <w:bCs/>
          <w:sz w:val="22"/>
          <w:szCs w:val="22"/>
        </w:rPr>
      </w:pPr>
    </w:p>
    <w:p w14:paraId="42DAE394" w14:textId="77777777" w:rsidR="0085470E" w:rsidRDefault="0085470E" w:rsidP="0085470E">
      <w:pPr>
        <w:pStyle w:val="Default"/>
        <w:rPr>
          <w:b/>
          <w:bCs/>
          <w:sz w:val="22"/>
          <w:szCs w:val="22"/>
        </w:rPr>
      </w:pPr>
    </w:p>
    <w:p w14:paraId="6259705E" w14:textId="77777777" w:rsidR="0085470E" w:rsidRDefault="0085470E" w:rsidP="0085470E">
      <w:pPr>
        <w:pStyle w:val="Default"/>
        <w:jc w:val="center"/>
        <w:rPr>
          <w:sz w:val="22"/>
          <w:szCs w:val="22"/>
        </w:rPr>
      </w:pPr>
      <w:r>
        <w:rPr>
          <w:b/>
          <w:bCs/>
          <w:sz w:val="22"/>
          <w:szCs w:val="22"/>
        </w:rPr>
        <w:t>OPĆINSKO VIJEĆE OPĆINE PLITVIČKA JEZERA</w:t>
      </w:r>
    </w:p>
    <w:p w14:paraId="1C38AA8E" w14:textId="77777777" w:rsidR="0085470E" w:rsidRDefault="0085470E" w:rsidP="0085470E">
      <w:pPr>
        <w:pStyle w:val="Default"/>
        <w:jc w:val="right"/>
        <w:rPr>
          <w:b/>
          <w:bCs/>
          <w:sz w:val="22"/>
          <w:szCs w:val="22"/>
        </w:rPr>
      </w:pPr>
    </w:p>
    <w:p w14:paraId="44F3CC59" w14:textId="77777777" w:rsidR="0085470E" w:rsidRDefault="0085470E" w:rsidP="0085470E">
      <w:pPr>
        <w:pStyle w:val="Default"/>
        <w:jc w:val="right"/>
        <w:rPr>
          <w:b/>
          <w:bCs/>
          <w:sz w:val="22"/>
          <w:szCs w:val="22"/>
        </w:rPr>
      </w:pPr>
    </w:p>
    <w:p w14:paraId="57F3461A" w14:textId="77777777" w:rsidR="0085470E" w:rsidRDefault="0085470E" w:rsidP="0085470E">
      <w:pPr>
        <w:pStyle w:val="Default"/>
        <w:jc w:val="right"/>
        <w:rPr>
          <w:sz w:val="22"/>
          <w:szCs w:val="22"/>
        </w:rPr>
      </w:pPr>
      <w:r>
        <w:rPr>
          <w:b/>
          <w:bCs/>
          <w:sz w:val="22"/>
          <w:szCs w:val="22"/>
        </w:rPr>
        <w:t xml:space="preserve">Predsjednik Općinskog vijeća </w:t>
      </w:r>
    </w:p>
    <w:p w14:paraId="2AD53022" w14:textId="77777777" w:rsidR="0085470E" w:rsidRPr="00530BE5" w:rsidRDefault="0085470E" w:rsidP="0085470E">
      <w:pPr>
        <w:jc w:val="right"/>
        <w:rPr>
          <w:rFonts w:ascii="Arial" w:hAnsi="Arial" w:cs="Arial"/>
          <w:b/>
        </w:rPr>
      </w:pPr>
      <w:r w:rsidRPr="00530BE5">
        <w:rPr>
          <w:rFonts w:ascii="Arial" w:hAnsi="Arial" w:cs="Arial"/>
          <w:b/>
          <w:bCs/>
        </w:rPr>
        <w:t xml:space="preserve">Ante Bionda </w:t>
      </w:r>
      <w:r w:rsidRPr="00530BE5">
        <w:rPr>
          <w:rFonts w:ascii="Arial" w:hAnsi="Arial" w:cs="Arial"/>
          <w:b/>
          <w:lang w:eastAsia="hr-HR"/>
        </w:rPr>
        <mc:AlternateContent>
          <mc:Choice Requires="wps">
            <w:drawing>
              <wp:anchor distT="0" distB="0" distL="114300" distR="114300" simplePos="0" relativeHeight="251674624" behindDoc="0" locked="1" layoutInCell="1" allowOverlap="1" wp14:anchorId="6E8EB808" wp14:editId="74370DBA">
                <wp:simplePos x="0" y="0"/>
                <wp:positionH relativeFrom="page">
                  <wp:posOffset>109220</wp:posOffset>
                </wp:positionH>
                <wp:positionV relativeFrom="page">
                  <wp:posOffset>9266555</wp:posOffset>
                </wp:positionV>
                <wp:extent cx="3535045" cy="1014730"/>
                <wp:effectExtent l="0" t="0" r="0" b="0"/>
                <wp:wrapNone/>
                <wp:docPr id="39892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01912E7" w14:textId="77777777" w:rsidR="0085470E" w:rsidRDefault="0085470E" w:rsidP="0085470E">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EB808" id="_x0000_t202" coordsize="21600,21600" o:spt="202" path="m,l,21600r21600,l21600,xe">
                <v:stroke joinstyle="miter"/>
                <v:path gradientshapeok="t" o:connecttype="rect"/>
              </v:shapetype>
              <v:shape id="Text Box 2" o:spid="_x0000_s1026" type="#_x0000_t202" style="position:absolute;left:0;text-align:left;margin-left:8.6pt;margin-top:729.65pt;width:278.35pt;height:79.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" stroked="f">
                <v:textbox>
                  <w:txbxContent>
                    <w:p w14:paraId="701912E7" w14:textId="77777777" w:rsidR="0085470E" w:rsidRDefault="0085470E" w:rsidP="0085470E">
                      <w:pPr>
                        <w:contextualSpacing/>
                      </w:pPr>
                    </w:p>
                  </w:txbxContent>
                </v:textbox>
                <w10:wrap anchorx="page" anchory="page"/>
                <w10:anchorlock/>
              </v:shape>
            </w:pict>
          </mc:Fallback>
        </mc:AlternateContent>
      </w:r>
    </w:p>
    <w:p w14:paraId="269CCC50" w14:textId="4FA45647" w:rsidR="008A562A" w:rsidRDefault="00D707B3" w:rsidP="0085470E">
      <w:pPr>
        <w:pStyle w:val="NoSpacing"/>
        <w:rPr>
          <w:b/>
        </w:rPr>
      </w:pPr>
      <w:r>
        <w:rPr>
          <w:b/>
          <w:noProof/>
          <w:lang w:eastAsia="hr-HR"/>
        </w:rPr>
        <mc:AlternateContent>
          <mc:Choice Requires="wps">
            <w:drawing>
              <wp:anchor distT="0" distB="0" distL="114300" distR="114300" simplePos="0" relativeHeight="251672576" behindDoc="0" locked="1" layoutInCell="1" allowOverlap="1" wp14:anchorId="5900AC72" wp14:editId="09E476DF">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4C7CDCF6"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0AC72" id="_x0000_s1027"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4C7CDCF6"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681908"/>
    <w:multiLevelType w:val="hybridMultilevel"/>
    <w:tmpl w:val="CA1C4A04"/>
    <w:lvl w:ilvl="0" w:tplc="ED3236AC">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18533343">
    <w:abstractNumId w:val="0"/>
  </w:num>
  <w:num w:numId="2" w16cid:durableId="1565606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778A"/>
    <w:rsid w:val="004D3147"/>
    <w:rsid w:val="00504690"/>
    <w:rsid w:val="007662C8"/>
    <w:rsid w:val="00784FE7"/>
    <w:rsid w:val="0085470E"/>
    <w:rsid w:val="008A562A"/>
    <w:rsid w:val="008F4DB6"/>
    <w:rsid w:val="00A836D0"/>
    <w:rsid w:val="00AC35DA"/>
    <w:rsid w:val="00B92D0F"/>
    <w:rsid w:val="00CD0DA7"/>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6947"/>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paragraph" w:customStyle="1" w:styleId="Default">
    <w:name w:val="Default"/>
    <w:rsid w:val="008547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Drawing"/>
    <ds:schemaRef ds:uri="http://schemas.openxmlformats.org/drawingml/2006/chart"/>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3</cp:revision>
  <cp:lastPrinted>2024-03-26T09:21:00Z</cp:lastPrinted>
  <dcterms:created xsi:type="dcterms:W3CDTF">2024-03-26T09:22:00Z</dcterms:created>
  <dcterms:modified xsi:type="dcterms:W3CDTF">2024-03-26T09:28:00Z</dcterms:modified>
</cp:coreProperties>
</file>