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37"/>
      </w:tblGrid>
      <w:tr w:rsidR="00B92D0F" w14:paraId="70036E45" w14:textId="77777777" w:rsidTr="00B0603F">
        <w:trPr>
          <w:trHeight w:val="350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32D9FE7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+*yqw*wlB*afy*mic*xag*ycf*zbF*Bjq*uDn*pwa*zew*-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+*eDs*lyd*lyd*lyd*lyd*pzC*rva*xDt*ncy*aiz*zfE*-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+*ftw*ptw*mFk*kdg*Eyy*ltl*Fwy*rrB*sug*bik*onA*-</w:t>
            </w:r>
            <w:r>
              <w:rPr>
                <w:rFonts w:ascii="PDF417x" w:hAnsi="PDF417x"/>
                <w:sz w:val="24"/>
                <w:szCs w:val="24"/>
              </w:rPr>
              <w:br/>
              <w:t>+*ftA*iEz*xgg*zgq*jCy*icz*buw*Buz*wFn*njc*uws*-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+*xjq*iEa*txi*jqB*crk*jag*xyr*AxD*nxB*DCb*uzq*-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29"/>
      </w:tblGrid>
      <w:tr w:rsidR="00B92D0F" w:rsidRPr="00B92D0F" w14:paraId="767A20C7" w14:textId="77777777" w:rsidTr="00B0603F">
        <w:trPr>
          <w:trHeight w:val="361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4EAA4DD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B1E066E" w14:textId="39698D2A" w:rsidR="00B0603F" w:rsidRPr="002F5593" w:rsidRDefault="00B0603F" w:rsidP="00B060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Na temelju članka 35. Zakona o lokalnoj i područnoj (regionalnoj) samoupravi (Narodne novine broj 33/01, 60/01, 129/05, 109/07, 125/08, 36/09, 150/11, 144/12, 19/13, 137/15, 123/17, 98/19, 144/20) i </w:t>
      </w:r>
      <w:r w:rsidRPr="002F5593">
        <w:rPr>
          <w:rFonts w:ascii="Times New Roman" w:hAnsi="Times New Roman" w:cs="Times New Roman"/>
          <w:noProof w:val="0"/>
        </w:rPr>
        <w:t>članka 20. Statuta Općine Plitvička Jezera („Službeni glasnik Općine Plitvička Jezera“ br. 2/21</w:t>
      </w:r>
      <w:r>
        <w:rPr>
          <w:rFonts w:ascii="Times New Roman" w:hAnsi="Times New Roman" w:cs="Times New Roman"/>
          <w:noProof w:val="0"/>
        </w:rPr>
        <w:t xml:space="preserve"> i 9/22</w:t>
      </w:r>
      <w:r w:rsidRPr="002F5593">
        <w:rPr>
          <w:rFonts w:ascii="Times New Roman" w:hAnsi="Times New Roman" w:cs="Times New Roman"/>
          <w:noProof w:val="0"/>
        </w:rPr>
        <w:t xml:space="preserve">) Općinsko vijeće Općine Plitvička Jezera na  </w:t>
      </w:r>
      <w:r>
        <w:rPr>
          <w:rFonts w:ascii="Times New Roman" w:hAnsi="Times New Roman" w:cs="Times New Roman"/>
          <w:noProof w:val="0"/>
        </w:rPr>
        <w:t>17.</w:t>
      </w:r>
      <w:r w:rsidRPr="002F5593">
        <w:rPr>
          <w:rFonts w:ascii="Times New Roman" w:hAnsi="Times New Roman" w:cs="Times New Roman"/>
          <w:noProof w:val="0"/>
        </w:rPr>
        <w:t xml:space="preserve"> redovnoj sjednici održanoj dana </w:t>
      </w:r>
      <w:r>
        <w:rPr>
          <w:rFonts w:ascii="Times New Roman" w:hAnsi="Times New Roman" w:cs="Times New Roman"/>
          <w:noProof w:val="0"/>
        </w:rPr>
        <w:t>25.03.</w:t>
      </w:r>
      <w:r w:rsidRPr="002F5593">
        <w:rPr>
          <w:rFonts w:ascii="Times New Roman" w:hAnsi="Times New Roman" w:cs="Times New Roman"/>
          <w:noProof w:val="0"/>
        </w:rPr>
        <w:t>202</w:t>
      </w:r>
      <w:r>
        <w:rPr>
          <w:rFonts w:ascii="Times New Roman" w:hAnsi="Times New Roman" w:cs="Times New Roman"/>
          <w:noProof w:val="0"/>
        </w:rPr>
        <w:t>4</w:t>
      </w:r>
      <w:r w:rsidRPr="002F5593">
        <w:rPr>
          <w:rFonts w:ascii="Times New Roman" w:hAnsi="Times New Roman" w:cs="Times New Roman"/>
          <w:noProof w:val="0"/>
        </w:rPr>
        <w:t>. godine donosi</w:t>
      </w:r>
    </w:p>
    <w:p w14:paraId="39E97C9C" w14:textId="77777777" w:rsidR="00B0603F" w:rsidRPr="002F5593" w:rsidRDefault="00B0603F" w:rsidP="00B060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3106AC54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O D L U K U</w:t>
      </w:r>
    </w:p>
    <w:p w14:paraId="680DE323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o davanju suglasnosti i jamstva Općine Plitvička Jezera</w:t>
      </w:r>
    </w:p>
    <w:p w14:paraId="77CFA0A2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za kratkoročno kreditno zaduženje </w:t>
      </w:r>
    </w:p>
    <w:p w14:paraId="73526EC5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trgovačkom društvu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Komunalac</w:t>
      </w: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d.o.o.</w:t>
      </w:r>
    </w:p>
    <w:p w14:paraId="3C706896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3F69276C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401A2769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Daje se suglasnost za kratkoročno kreditno zaduženje poduzeću </w:t>
      </w:r>
      <w:r>
        <w:rPr>
          <w:rFonts w:ascii="Times New Roman" w:hAnsi="Times New Roman" w:cs="Times New Roman"/>
          <w:noProof w:val="0"/>
          <w:sz w:val="24"/>
          <w:szCs w:val="24"/>
        </w:rPr>
        <w:t>KOMUNALAC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d.o.o., Trg svetog Jurja 12, Korenica, OIB: 35080102633, u iznosu od 40.000,00 EURA kod Privredne banke Zagreb d. d.  uz sljedeće uvjete:</w:t>
      </w:r>
    </w:p>
    <w:p w14:paraId="4666C46E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color w:val="FF0000"/>
          <w:sz w:val="24"/>
          <w:szCs w:val="24"/>
        </w:rPr>
      </w:pPr>
    </w:p>
    <w:p w14:paraId="6F8A8F44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Vrsta kredita: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Kratkoročni kreditno zaduženje – prekoračenje po </w:t>
      </w:r>
    </w:p>
    <w:p w14:paraId="31A725B4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                        transakcijskom računu</w:t>
      </w:r>
    </w:p>
    <w:p w14:paraId="745E49EC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Namjena: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Za tekuću likvidnost</w:t>
      </w:r>
    </w:p>
    <w:tbl>
      <w:tblPr>
        <w:tblStyle w:val="TableGrid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6221"/>
      </w:tblGrid>
      <w:tr w:rsidR="00B0603F" w:rsidRPr="002F5593" w14:paraId="3CA137E8" w14:textId="77777777" w:rsidTr="00A46736">
        <w:trPr>
          <w:trHeight w:val="308"/>
        </w:trPr>
        <w:tc>
          <w:tcPr>
            <w:tcW w:w="3219" w:type="dxa"/>
          </w:tcPr>
          <w:p w14:paraId="6046D346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Redovna kamatna stopa</w:t>
            </w: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:</w:t>
            </w:r>
          </w:p>
        </w:tc>
        <w:tc>
          <w:tcPr>
            <w:tcW w:w="6221" w:type="dxa"/>
          </w:tcPr>
          <w:p w14:paraId="18241E0B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Promjenjiva, u visini mjesečnog </w:t>
            </w:r>
            <w:proofErr w:type="spellStart"/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EURIBORa</w:t>
            </w:r>
            <w:proofErr w:type="spellEnd"/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, uvećanog za kamatnu maržu u visini 2,0 postotna poena godišnje, što na dan 15.3.2024. godine iznosi 5,88 % godišnje </w:t>
            </w:r>
          </w:p>
        </w:tc>
      </w:tr>
      <w:tr w:rsidR="00B0603F" w:rsidRPr="002F5593" w14:paraId="386C1E04" w14:textId="77777777" w:rsidTr="00A46736">
        <w:trPr>
          <w:trHeight w:val="322"/>
        </w:trPr>
        <w:tc>
          <w:tcPr>
            <w:tcW w:w="3219" w:type="dxa"/>
          </w:tcPr>
          <w:p w14:paraId="0FEA83B2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Rok i način otplate kredita:</w:t>
            </w:r>
            <w:r w:rsidRPr="002F5593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ab/>
            </w:r>
          </w:p>
          <w:p w14:paraId="32CAF0EC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14:paraId="2E895C7C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Naknada: </w:t>
            </w:r>
          </w:p>
        </w:tc>
        <w:tc>
          <w:tcPr>
            <w:tcW w:w="6221" w:type="dxa"/>
          </w:tcPr>
          <w:p w14:paraId="66ADD736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Kredit će se vraćati prema mogućnostima Korisnika kredita, a najkasnije do 30.04.2025. godine. </w:t>
            </w:r>
          </w:p>
          <w:p w14:paraId="36262E79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Za obradu zahtjeva – 0,15% jednokratno, najmanje EUR 66,36 (-50%)</w:t>
            </w:r>
          </w:p>
          <w:p w14:paraId="71D1BB76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Za odobrenje kredita– 0,60%, jednokratno, najmanje EUR 66,36 (-50%)</w:t>
            </w:r>
          </w:p>
          <w:p w14:paraId="1611801A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Za rezervaciju sredstava – 0,125% godišnje, tromjesečno, najmanje EUR 66,36 (-50%)</w:t>
            </w:r>
          </w:p>
        </w:tc>
      </w:tr>
      <w:tr w:rsidR="00B0603F" w:rsidRPr="002F5593" w14:paraId="36C041CC" w14:textId="77777777" w:rsidTr="00A46736">
        <w:trPr>
          <w:trHeight w:val="658"/>
        </w:trPr>
        <w:tc>
          <w:tcPr>
            <w:tcW w:w="3219" w:type="dxa"/>
          </w:tcPr>
          <w:p w14:paraId="26C85E9D" w14:textId="77777777" w:rsidR="00B0603F" w:rsidRPr="002F5593" w:rsidRDefault="00B0603F" w:rsidP="00A4673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Osiguranje povrata kredita</w:t>
            </w: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:</w:t>
            </w:r>
          </w:p>
        </w:tc>
        <w:tc>
          <w:tcPr>
            <w:tcW w:w="6221" w:type="dxa"/>
          </w:tcPr>
          <w:p w14:paraId="6FE27ABC" w14:textId="77777777" w:rsidR="00B0603F" w:rsidRPr="002F5593" w:rsidRDefault="00B0603F" w:rsidP="00B0603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 zadužnica korisnika kredita,</w:t>
            </w:r>
          </w:p>
          <w:p w14:paraId="5E8B65FF" w14:textId="77777777" w:rsidR="00B0603F" w:rsidRPr="002F5593" w:rsidRDefault="00B0603F" w:rsidP="00B0603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F559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jamstvo osnivača - Općine Plitvička Jezera.</w:t>
            </w:r>
          </w:p>
          <w:p w14:paraId="24D4D077" w14:textId="77777777" w:rsidR="00B0603F" w:rsidRPr="002F5593" w:rsidRDefault="00B0603F" w:rsidP="00A46736">
            <w:pPr>
              <w:ind w:left="720"/>
              <w:contextualSpacing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14:paraId="134E1D21" w14:textId="77777777" w:rsidR="00B0603F" w:rsidRPr="002F5593" w:rsidRDefault="00B0603F" w:rsidP="00A46736">
            <w:pPr>
              <w:ind w:left="720"/>
              <w:contextualSpacing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08A8FB8A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55C69B19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Daje se suglasnost na davanje jamstva Općine Plitvička Jezera za kratkoročno kreditno zaduženje poduzeća </w:t>
      </w:r>
      <w:r>
        <w:rPr>
          <w:rFonts w:ascii="Times New Roman" w:hAnsi="Times New Roman" w:cs="Times New Roman"/>
          <w:noProof w:val="0"/>
          <w:sz w:val="24"/>
          <w:szCs w:val="24"/>
        </w:rPr>
        <w:t>Komunalac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d.o.o. pod uvjetima iz članka 1. ove Odluke.</w:t>
      </w:r>
    </w:p>
    <w:p w14:paraId="3F38F03D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>Ovlašćuje se Načelnik Općine Plitvička Jezera, da pod uvjetima iz prethodnog članka, potpiše</w:t>
      </w:r>
      <w:r w:rsidRPr="002F559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izjavu 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>i jamstvo Općine Plitvička Jezera, kao i da poduzme druge pravne poslove u svezi s realizacijom kredita.</w:t>
      </w:r>
    </w:p>
    <w:p w14:paraId="06652C0E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257CB08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2D14E9B8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Poduzeće </w:t>
      </w:r>
      <w:r>
        <w:rPr>
          <w:rFonts w:ascii="Times New Roman" w:hAnsi="Times New Roman" w:cs="Times New Roman"/>
          <w:noProof w:val="0"/>
          <w:sz w:val="24"/>
          <w:szCs w:val="24"/>
        </w:rPr>
        <w:t>Komunalac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d.o.o. osigurat će financijska sredstva za uredno podmirivanje obaveza  prema rokovima iz Ugovora o kratkoročnom kreditu.</w:t>
      </w:r>
    </w:p>
    <w:p w14:paraId="1656FC68" w14:textId="77777777" w:rsidR="00B0603F" w:rsidRPr="002F5593" w:rsidRDefault="00B0603F" w:rsidP="00B0603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21DDCFA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6EB32953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Obvezuje se poduzeće </w:t>
      </w:r>
      <w:r>
        <w:rPr>
          <w:rFonts w:ascii="Times New Roman" w:hAnsi="Times New Roman" w:cs="Times New Roman"/>
          <w:noProof w:val="0"/>
          <w:sz w:val="24"/>
          <w:szCs w:val="24"/>
        </w:rPr>
        <w:t>Komunalac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 d.o.o. da u roku od osam dana po potpisu Ugovora o kratkoročnom kreditu, za izdano jamstvo Općine Plitvička Jezera, dostavi u Jedinstveni upravni odjel Općine Plitvička Jezera zadužnicu potvrđenu od javnog bilježnika na iznos 40.000,00 eura kao osiguranje za slučaj aktiviranja jamstva.</w:t>
      </w:r>
    </w:p>
    <w:p w14:paraId="6A45526E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0783AC7" w14:textId="77777777" w:rsidR="00B0603F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D02D0AC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F739E97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197C679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lastRenderedPageBreak/>
        <w:t>Članak 5.</w:t>
      </w:r>
    </w:p>
    <w:p w14:paraId="26A5D71A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>Ova Odluka stupa na snagu osmog (8) dana od dana objave u „Službenom glasniku Općine Plitvička Jezera“.</w:t>
      </w:r>
    </w:p>
    <w:p w14:paraId="4339D90C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D488654" w14:textId="77777777" w:rsidR="00B0603F" w:rsidRPr="002F5593" w:rsidRDefault="00B0603F" w:rsidP="00B0603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25601F6" w14:textId="601439D6" w:rsidR="00B0603F" w:rsidRPr="002F5593" w:rsidRDefault="00B0603F" w:rsidP="00B0603F">
      <w:pPr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>KLASA: 403-01/2</w:t>
      </w:r>
      <w:r>
        <w:rPr>
          <w:rFonts w:ascii="Times New Roman" w:hAnsi="Times New Roman" w:cs="Times New Roman"/>
          <w:noProof w:val="0"/>
          <w:sz w:val="24"/>
          <w:szCs w:val="24"/>
        </w:rPr>
        <w:t>4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>-</w:t>
      </w:r>
      <w:r>
        <w:rPr>
          <w:rFonts w:ascii="Times New Roman" w:hAnsi="Times New Roman" w:cs="Times New Roman"/>
          <w:noProof w:val="0"/>
          <w:sz w:val="24"/>
          <w:szCs w:val="24"/>
        </w:rPr>
        <w:t>01/01</w:t>
      </w:r>
    </w:p>
    <w:p w14:paraId="3895EBBF" w14:textId="0C06F1E3" w:rsidR="00B0603F" w:rsidRPr="002F5593" w:rsidRDefault="00B0603F" w:rsidP="00B0603F">
      <w:pPr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>URBROJ: 2125-11-03-2</w:t>
      </w:r>
      <w:r>
        <w:rPr>
          <w:rFonts w:ascii="Times New Roman" w:hAnsi="Times New Roman" w:cs="Times New Roman"/>
          <w:noProof w:val="0"/>
          <w:sz w:val="24"/>
          <w:szCs w:val="24"/>
        </w:rPr>
        <w:t>4</w:t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>-</w:t>
      </w:r>
      <w:r>
        <w:rPr>
          <w:rFonts w:ascii="Times New Roman" w:hAnsi="Times New Roman" w:cs="Times New Roman"/>
          <w:noProof w:val="0"/>
          <w:sz w:val="24"/>
          <w:szCs w:val="24"/>
        </w:rPr>
        <w:t>02</w:t>
      </w:r>
    </w:p>
    <w:p w14:paraId="6A81CCC3" w14:textId="161C3451" w:rsidR="00B0603F" w:rsidRPr="002F5593" w:rsidRDefault="00B0603F" w:rsidP="00B0603F">
      <w:pPr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 xml:space="preserve">Korenica,  </w:t>
      </w:r>
      <w:r>
        <w:rPr>
          <w:rFonts w:ascii="Times New Roman" w:hAnsi="Times New Roman" w:cs="Times New Roman"/>
          <w:noProof w:val="0"/>
          <w:sz w:val="24"/>
          <w:szCs w:val="24"/>
        </w:rPr>
        <w:t>25.03.2024. godine</w:t>
      </w:r>
    </w:p>
    <w:p w14:paraId="10994589" w14:textId="77777777" w:rsidR="00B0603F" w:rsidRPr="002F5593" w:rsidRDefault="00B0603F" w:rsidP="00B0603F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30D5370" w14:textId="77777777" w:rsidR="00B0603F" w:rsidRPr="002F5593" w:rsidRDefault="00B0603F" w:rsidP="00B0603F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146D225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b/>
          <w:bCs/>
          <w:noProof w:val="0"/>
          <w:sz w:val="24"/>
          <w:szCs w:val="24"/>
        </w:rPr>
        <w:t>OPĆINSKO VIJEĆE OPĆINE PLITVIČKA JEZERA</w:t>
      </w:r>
    </w:p>
    <w:p w14:paraId="64F8A2D7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18C044C" w14:textId="77777777" w:rsidR="00B0603F" w:rsidRPr="002F5593" w:rsidRDefault="00B0603F" w:rsidP="00B0603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638DAA8E" w14:textId="77777777" w:rsidR="00B0603F" w:rsidRPr="002F5593" w:rsidRDefault="00B0603F" w:rsidP="00B0603F">
      <w:pPr>
        <w:ind w:left="5664"/>
        <w:jc w:val="right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4CD4E659" w14:textId="77777777" w:rsidR="00B0603F" w:rsidRPr="002F5593" w:rsidRDefault="00B0603F" w:rsidP="00B0603F">
      <w:pPr>
        <w:ind w:left="360"/>
        <w:jc w:val="right"/>
        <w:rPr>
          <w:rFonts w:ascii="Times New Roman" w:hAnsi="Times New Roman" w:cs="Times New Roman"/>
          <w:noProof w:val="0"/>
          <w:sz w:val="24"/>
          <w:szCs w:val="24"/>
        </w:rPr>
      </w:pP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2F5593">
        <w:rPr>
          <w:rFonts w:ascii="Times New Roman" w:hAnsi="Times New Roman" w:cs="Times New Roman"/>
          <w:noProof w:val="0"/>
          <w:sz w:val="24"/>
          <w:szCs w:val="24"/>
        </w:rPr>
        <w:tab/>
        <w:t>Ante Bionda</w:t>
      </w:r>
    </w:p>
    <w:p w14:paraId="1E95B93A" w14:textId="77777777" w:rsidR="00B0603F" w:rsidRDefault="00B0603F" w:rsidP="00B0603F">
      <w:pPr>
        <w:spacing w:after="160" w:line="259" w:lineRule="auto"/>
        <w:rPr>
          <w:b/>
        </w:rPr>
      </w:pPr>
    </w:p>
    <w:p w14:paraId="3D62A50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A8E1DF" wp14:editId="18EE2AF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90903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8E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0B90903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3C1"/>
    <w:multiLevelType w:val="hybridMultilevel"/>
    <w:tmpl w:val="4F54D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81451">
    <w:abstractNumId w:val="0"/>
  </w:num>
  <w:num w:numId="2" w16cid:durableId="52930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0603F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6B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2024-03-26T07:44:00Z</cp:lastPrinted>
  <dcterms:created xsi:type="dcterms:W3CDTF">2024-03-26T07:44:00Z</dcterms:created>
  <dcterms:modified xsi:type="dcterms:W3CDTF">2024-03-26T07:44:00Z</dcterms:modified>
</cp:coreProperties>
</file>